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2017 4 vom 12. Juli 2019</w:t>
      </w:r>
    </w:p>
    <w:p>
      <w:r>
        <w:t>GR Gerichte, 2019-07-12, IT</w:t>
      </w:r>
    </w:p>
    <w:p>
      <w:r>
        <w:rPr>
          <w:b/>
        </w:rPr>
        <w:t xml:space="preserve">Quelle: </w:t>
      </w:r>
      <w:r>
        <w:t>https://mcp.opencaselaw.ch/entscheid/gr_gerichte_V 2017 4</w:t>
      </w:r>
    </w:p>
    <w:p>
      <w:r>
        <w:t>FR: GR_GERICHTE V 2017 4 du 12 juillet 2019</w:t>
      </w:r>
    </w:p>
    <w:p>
      <w:r>
        <w:t>IT: GR_GERICHTE V 2017 4 del 12 luglio 2019</w:t>
      </w:r>
    </w:p>
    <w:p>
      <w:pPr>
        <w:pStyle w:val="Heading2"/>
      </w:pPr>
      <w:r>
        <w:t>Regeste</w:t>
      </w:r>
    </w:p>
    <w:p>
      <w:r>
        <w:t>regolamento per la gestione del suolo agricolo (Controllo normativo astratto) | abstrakte Normenkontrolle</w:t>
      </w:r>
    </w:p>
    <w:p>
      <w:pPr>
        <w:pStyle w:val="Heading2"/>
      </w:pPr>
      <w:r>
        <w:t>Erwägungen</w:t>
      </w:r>
    </w:p>
    <w:p>
      <w:r>
        <w:rPr>
          <w:b/>
        </w:rPr>
        <w:t>E. 15</w:t>
      </w:r>
    </w:p>
    <w:p>
      <w:r>
        <w:t>maggio il vago pascolo è vietato su tutte le superfici agricole altrui, tranne che sugli alpi e maggesi; a partire dal 15 ottobre è ammesso su tutte le superfici agricole) e delle possibilità di deroga e limitazioni da parte del Municipio. Il Regolamento in vigore definisce le zone ritenute alpi, mentre il nuovo Regolamento impugnato non si limita a definire gli alpi (art. 3 cpv. 1), ma specifica pure quali zone sono da ritenersi maggesi (art. 3 cpv. 4). 1.4.5. Da quanto sopra esposto emerge che per il bestiame minuto il vago pascolo è stato ampliato alle zone di prati (Heimwiesen), ovvero alle zone che non sono né maggesi né alpi o zone abitate. L'argomentazione del convenuto secondo cui, vista l'altezza della frazione di Y._____, non ci sarebbe una grande differenza tra i maggesi e le aree coltivate a ridosso dell'abitato (o prati ["Heimwiesen"] - n.d.T.]) non va approfondita, poiché qui si tratta di giudicare una norma nell'ambito di un controllo astratto. E la norma in questione comprende tutto il territorio comunale, quindi anche zone fuori Y._____, dove è dato parlare di prati nel senso di "Heimwiesen" senza che vengano intesi dei maggesi. Il Regolamento impugnato introduce quindi il vago pascolo alle zone di prati ("Heimwiesen"). Come l'estensione temporale (v. a tal proposito PASSINI, Die bündnerische Gemeinatzung, Zurigo 2004, pag. 119), anche l'estensione territoriale del vago pascolo deve essere parificata all'introduzione risp. reintroduzione del vago pascolo. Pertanto l'art. 128 cpv. 5 LICC è stato a torto inosservato. 1.4.6. Va ancora osservato che con il Regolamento in vigore del 22 aprile 2016 si è proceduti ad una limitazione del vago pascolo. Una limitazione può essere deliberata in qualsiasi momento non essendo esplicitamente regolata. Con l'espansione territoriale del vago pascolo attraverso il qui</w:t>
      </w:r>
    </w:p>
    <w:p>
      <w:r>
        <w:t>- 8 - impugnato art. 5 del (nuovo) Regolamento non si sono invece osservate le disposizioni di cui all'art. 128 cpv. 5 LICC. Ciò non significa tuttavia che la disposizione impugnata sia nulla, perché l'approvazione dei due terzi dei rispettivi proprietari può ancora venir richiesta e la modifica di cui all'art. 5 sottoposta al Governo per approvazione. 2. In base al summenzionato art. 57 cpv. 2 LGA, che per atti legislativi come quello di specie soggetti all'approvazione del Governo, ammette il ricorso costituzionale contro l'emanazione soltanto dopo la comunicazione del decreto di approvazione, il ricorso è dunque irricevibile. Tuttavia, contrariamente al parere del convenuto che ha chiaramente segnalato di non voler applicare l'art. 128 cpv. 5 LICC e quindi di non voler sottoporre al Governo la modifica del Regolamento, il Tribunale constata che l'art. 5 del Regolamento deliberato dall'Assemblea comunale del Comune di X._____ il 23 giugno 2017 deve rispettare le condizioni di cui all'art. 128 cpv. 5 LICC. 3. Giusta l'art. 73 cpv. 1 LGA nella procedura di ricorso e nella procedura d'azione la parte soccombente deve di regola assumersi le spese. Visto tuttavia che il convenuto, come eccepito dalla ricorrente, non ha rispettato (risp. non intende rispettare) le disposizioni per l'emanazione della disposizione impugnata e oltretutto non ha postulato l'irricevibilità del ricorso bensì il rigetto dello stesso, si giustifica in deroga alla citata regola l'accollamento dei costi di questa procedura al convenuto. Per lo stesso motivo, in deroga alla regola dell'art. 78 cpv. 1 LGA, secondo cui la parte soccombente viene di regola obbligata a rimborsare alla parte vincente le spese necessarie causate dalla procedura, appare corretto che il convenuto indennizzi la ricorrente con un importo forfettario pari a fr. 1'000.--.</w:t>
      </w:r>
    </w:p>
    <w:p>
      <w:r>
        <w:t>- 9 - Il Tribunale decide: 1. Il ricorso è irricevibile. 2. Vengono prelevate - una tassa di Stato di fr. 2'000.-- - e le spese di cancelleria di fr. 194.-- totale fr. 2'194.-- il cui importo sarà versato dal Comune di X._____ entro trenta giorni dalla notifica della presente decisione all’Amministrazione delle finanze del Cantone dei Grigioni, Coira. 3. Il Comune di X._____ versa ad A._____ fr. 1’000.--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